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Default="00F24872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  <w:r>
        <w:rPr>
          <w:rFonts w:ascii="Verdana" w:eastAsia="Times New Roman" w:hAnsi="Verdana" w:cs="Times New Roman"/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BAB49" wp14:editId="0946F19B">
                <wp:simplePos x="0" y="0"/>
                <wp:positionH relativeFrom="column">
                  <wp:posOffset>19050</wp:posOffset>
                </wp:positionH>
                <wp:positionV relativeFrom="paragraph">
                  <wp:posOffset>65405</wp:posOffset>
                </wp:positionV>
                <wp:extent cx="6278880" cy="1836420"/>
                <wp:effectExtent l="0" t="0" r="26670" b="11430"/>
                <wp:wrapNone/>
                <wp:docPr id="307" name="Tekstbok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BCC" w:rsidRDefault="00174BCC" w:rsidP="00174BCC">
                            <w:pPr>
                              <w:ind w:right="-594"/>
                            </w:pPr>
                            <w:r>
                              <w:t>Alt farvet tekst skal slettes inden udsendelse – inklusiv denne tekstboks</w:t>
                            </w:r>
                          </w:p>
                          <w:p w:rsidR="00174BCC" w:rsidRDefault="00174BCC" w:rsidP="00174BCC">
                            <w:pPr>
                              <w:ind w:right="-594"/>
                            </w:pPr>
                          </w:p>
                          <w:p w:rsidR="00174BCC" w:rsidRPr="00663F82" w:rsidRDefault="00174BCC" w:rsidP="00174BCC">
                            <w:pPr>
                              <w:pStyle w:val="Typografi1blindryk"/>
                              <w:ind w:right="-594"/>
                            </w:pPr>
                            <w:bookmarkStart w:id="0" w:name="_Toc532902085"/>
                            <w:r w:rsidRPr="00663F82">
                              <w:t>Al tekst markeret med fed, kursiv og blå er vejledende tekst og skal slettes inden udsendelse.</w:t>
                            </w:r>
                            <w:bookmarkEnd w:id="0"/>
                          </w:p>
                          <w:p w:rsidR="00174BCC" w:rsidRPr="001300D7" w:rsidRDefault="00174BCC" w:rsidP="00174BCC">
                            <w:pPr>
                              <w:pStyle w:val="Grntekst"/>
                              <w:ind w:right="-594"/>
                              <w:rPr>
                                <w:color w:val="auto"/>
                              </w:rPr>
                            </w:pPr>
                            <w:r w:rsidRPr="003F0E2F">
                              <w:t>Hvor tekst er markeret med grøn, skal der tages stilling til om teksten skal indgå i aftalen eller slettes.</w:t>
                            </w:r>
                            <w:r>
                              <w:t xml:space="preserve"> Bibeholdt grøn tekst ændres til </w:t>
                            </w:r>
                            <w:r>
                              <w:rPr>
                                <w:color w:val="auto"/>
                              </w:rPr>
                              <w:t>sort tekst.</w:t>
                            </w:r>
                          </w:p>
                          <w:p w:rsidR="00174BCC" w:rsidRDefault="00174BCC" w:rsidP="00174BCC">
                            <w:pPr>
                              <w:ind w:right="-594"/>
                            </w:pPr>
                            <w:proofErr w:type="spellStart"/>
                            <w:r>
                              <w:t>Klikher</w:t>
                            </w:r>
                            <w:proofErr w:type="spellEnd"/>
                            <w:r>
                              <w:t xml:space="preserve"> felter udfyldes (hvor relevant). Tomme </w:t>
                            </w:r>
                            <w:proofErr w:type="spellStart"/>
                            <w:r>
                              <w:t>klikher</w:t>
                            </w:r>
                            <w:proofErr w:type="spellEnd"/>
                            <w:r>
                              <w:t xml:space="preserve"> felter fjernes inden udsendelse. Der kan flyttes mellem felterne med F11.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07" o:spid="_x0000_s1026" type="#_x0000_t202" style="position:absolute;margin-left:1.5pt;margin-top:5.15pt;width:494.4pt;height:1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">
                <v:textbox>
                  <w:txbxContent>
                    <w:p w:rsidR="00174BCC" w:rsidRDefault="00174BCC" w:rsidP="00174BCC">
                      <w:pPr>
                        <w:ind w:right="-594"/>
                      </w:pPr>
                      <w:r>
                        <w:t>Alt farvet tekst skal slettes inden udsendelse – inklusiv denne tekstboks</w:t>
                      </w:r>
                    </w:p>
                    <w:p w:rsidR="00174BCC" w:rsidRDefault="00174BCC" w:rsidP="00174BCC">
                      <w:pPr>
                        <w:ind w:right="-594"/>
                      </w:pPr>
                    </w:p>
                    <w:p w:rsidR="00174BCC" w:rsidRPr="00663F82" w:rsidRDefault="00174BCC" w:rsidP="00174BCC">
                      <w:pPr>
                        <w:pStyle w:val="Typografi1blindryk"/>
                        <w:ind w:right="-594"/>
                      </w:pPr>
                      <w:bookmarkStart w:id="1" w:name="_Toc532902085"/>
                      <w:r w:rsidRPr="00663F82">
                        <w:t>Al tekst markeret med fed, kursiv og blå er vejledende tekst og skal slettes inden udsendelse.</w:t>
                      </w:r>
                      <w:bookmarkEnd w:id="1"/>
                    </w:p>
                    <w:p w:rsidR="00174BCC" w:rsidRPr="001300D7" w:rsidRDefault="00174BCC" w:rsidP="00174BCC">
                      <w:pPr>
                        <w:pStyle w:val="Grntekst"/>
                        <w:ind w:right="-594"/>
                        <w:rPr>
                          <w:color w:val="auto"/>
                        </w:rPr>
                      </w:pPr>
                      <w:r w:rsidRPr="003F0E2F">
                        <w:t>Hvor tekst er markeret med grøn, skal der tages stilling til om teksten skal indgå i aftalen eller slettes.</w:t>
                      </w:r>
                      <w:r>
                        <w:t xml:space="preserve"> Bibeholdt grøn tekst ændres til </w:t>
                      </w:r>
                      <w:r>
                        <w:rPr>
                          <w:color w:val="auto"/>
                        </w:rPr>
                        <w:t>sort tekst.</w:t>
                      </w:r>
                    </w:p>
                    <w:p w:rsidR="00174BCC" w:rsidRDefault="00174BCC" w:rsidP="00174BCC">
                      <w:pPr>
                        <w:ind w:right="-594"/>
                      </w:pPr>
                      <w:proofErr w:type="spellStart"/>
                      <w:r>
                        <w:t>Klikher</w:t>
                      </w:r>
                      <w:proofErr w:type="spellEnd"/>
                      <w:r>
                        <w:t xml:space="preserve"> felter udfyldes (hvor relevant). Tomme </w:t>
                      </w:r>
                      <w:proofErr w:type="spellStart"/>
                      <w:r>
                        <w:t>klikher</w:t>
                      </w:r>
                      <w:proofErr w:type="spellEnd"/>
                      <w:r>
                        <w:t xml:space="preserve"> felter fjernes inden udsendelse. Der kan flyttes mellem felterne med F11.</w:t>
                      </w:r>
                    </w:p>
                  </w:txbxContent>
                </v:textbox>
              </v:shape>
            </w:pict>
          </mc:Fallback>
        </mc:AlternateContent>
      </w: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014E2A">
      <w:pPr>
        <w:pStyle w:val="Listeafsnit"/>
        <w:spacing w:after="0"/>
        <w:ind w:left="0"/>
      </w:pPr>
    </w:p>
    <w:p w:rsidR="00174BCC" w:rsidRDefault="00174BCC" w:rsidP="001C2553">
      <w:pPr>
        <w:pStyle w:val="Overskrift2"/>
      </w:pPr>
      <w:r>
        <w:t>Notat til</w:t>
      </w:r>
    </w:p>
    <w:p w:rsidR="00174BCC" w:rsidRDefault="00174BCC" w:rsidP="00174BCC"/>
    <w:p w:rsidR="00174BCC" w:rsidRDefault="00E659EF" w:rsidP="00174BCC">
      <w:r w:rsidRPr="00223CF0">
        <w:fldChar w:fldCharType="begin">
          <w:ffData>
            <w:name w:val=""/>
            <w:enabled/>
            <w:calcOnExit w:val="0"/>
            <w:textInput>
              <w:default w:val="«SAGENS TITEL OG ARBEJDET»"/>
              <w:format w:val="Store bogstaver"/>
            </w:textInput>
          </w:ffData>
        </w:fldChar>
      </w:r>
      <w:r w:rsidRPr="00223CF0">
        <w:instrText xml:space="preserve"> FORMTEXT </w:instrText>
      </w:r>
      <w:r w:rsidRPr="00223CF0">
        <w:fldChar w:fldCharType="separate"/>
      </w:r>
      <w:r w:rsidRPr="00223CF0">
        <w:rPr>
          <w:noProof/>
        </w:rPr>
        <w:t>«SAGENS TITEL OG ARBEJDET»</w:t>
      </w:r>
      <w:r w:rsidRPr="00223CF0">
        <w:fldChar w:fldCharType="end"/>
      </w:r>
    </w:p>
    <w:p w:rsidR="00174BCC" w:rsidRDefault="00174BCC" w:rsidP="00174BCC">
      <w:r>
        <w:t>Ansvarlig:</w:t>
      </w:r>
    </w:p>
    <w:p w:rsidR="00174BCC" w:rsidRDefault="00174BCC" w:rsidP="00174BCC">
      <w:proofErr w:type="spellStart"/>
      <w:r>
        <w:t>Journalnr</w:t>
      </w:r>
      <w:proofErr w:type="spellEnd"/>
      <w:r>
        <w:t>.:</w:t>
      </w:r>
    </w:p>
    <w:p w:rsidR="00174BCC" w:rsidRDefault="00174BCC" w:rsidP="00174BCC">
      <w:r>
        <w:t>Dato:</w:t>
      </w:r>
    </w:p>
    <w:p w:rsidR="00C77A67" w:rsidRDefault="00C77A67" w:rsidP="00174BCC"/>
    <w:p w:rsidR="00174BCC" w:rsidRDefault="00174BCC" w:rsidP="00174BCC">
      <w:pPr>
        <w:pStyle w:val="Overskrift3"/>
      </w:pPr>
      <w:r>
        <w:t>Tjekspørgsmål før indgåelse af rådgiveraftale efter ABR</w:t>
      </w:r>
      <w:r w:rsidR="00B4429C">
        <w:t xml:space="preserve"> 18</w:t>
      </w:r>
      <w:r>
        <w:t xml:space="preserve"> Forenklet</w:t>
      </w:r>
    </w:p>
    <w:p w:rsidR="00174BCC" w:rsidRDefault="00174BCC" w:rsidP="00174BCC"/>
    <w:p w:rsidR="00174BCC" w:rsidRDefault="00174BCC" w:rsidP="00174BCC">
      <w:pPr>
        <w:pStyle w:val="Typografi1blindryk"/>
      </w:pPr>
      <w:r>
        <w:t>Spørgsmålene er ment som en del af de indledende overvejelser i forhold til indgåelse af rådgiveraftale. Dokumentet kan arkiveres på sagen, således at man efter sagen er afsluttet kan dokumentere sine overvejelser for/imod at bruge det forenklede aftalesæt.</w:t>
      </w:r>
    </w:p>
    <w:p w:rsidR="00174BCC" w:rsidRDefault="00174BCC" w:rsidP="00174BCC">
      <w:pPr>
        <w:pStyle w:val="Typografi1blindryk"/>
      </w:pPr>
    </w:p>
    <w:p w:rsidR="00174BCC" w:rsidRDefault="00174BCC" w:rsidP="00174BCC">
      <w:pPr>
        <w:pStyle w:val="Typografi1blindryk"/>
      </w:pPr>
      <w:r>
        <w:t>Samarbejdspartnere/bydende kan medvirke til afklaring af spørgsmål i udbudsprocessen.</w:t>
      </w:r>
    </w:p>
    <w:p w:rsidR="00174BCC" w:rsidRDefault="00174BCC" w:rsidP="00174BCC">
      <w:pPr>
        <w:pStyle w:val="Typografi1blindryk"/>
      </w:pPr>
    </w:p>
    <w:p w:rsidR="00174BCC" w:rsidRDefault="00174BCC" w:rsidP="00174BCC">
      <w:pPr>
        <w:pStyle w:val="Typografi1blindryk"/>
      </w:pPr>
      <w:r>
        <w:t>Svarene v</w:t>
      </w:r>
      <w:r w:rsidR="00C45D1E">
        <w:t>il senere kunne bruges til at overveje rådgiveraftalens indhold og ændringer.</w:t>
      </w:r>
    </w:p>
    <w:p w:rsidR="00C45D1E" w:rsidRDefault="00C45D1E" w:rsidP="00174BCC">
      <w:pPr>
        <w:pStyle w:val="Typografi1blindryk"/>
      </w:pPr>
    </w:p>
    <w:p w:rsidR="00C45D1E" w:rsidRDefault="00C45D1E" w:rsidP="00174BCC">
      <w:pPr>
        <w:pStyle w:val="Typografi1blindryk"/>
      </w:pPr>
      <w:r>
        <w:t>Inden ABR</w:t>
      </w:r>
      <w:r w:rsidR="00B4429C">
        <w:t xml:space="preserve"> 18</w:t>
      </w:r>
      <w:r>
        <w:t xml:space="preserve"> Forenklet bruges skal man være opmærksom på, at den primært er til rådgivningsopgaver på sager med en byggesum på under 1 mio. kr. og/eller har meget begrænset projekteringsarbejde dvs. at det kan være en lille, forholdsvis ukompliceret projekteringsopgave eller tilsyn, bygherrerådgivning eller lign.</w:t>
      </w:r>
    </w:p>
    <w:p w:rsidR="00C45D1E" w:rsidRDefault="00C45D1E" w:rsidP="00174BCC">
      <w:pPr>
        <w:pStyle w:val="Typografi1blindryk"/>
      </w:pPr>
    </w:p>
    <w:p w:rsidR="00E659EF" w:rsidRDefault="00F7648B" w:rsidP="00F7648B">
      <w:pPr>
        <w:pStyle w:val="Listeafsnit"/>
        <w:numPr>
          <w:ilvl w:val="0"/>
          <w:numId w:val="1"/>
        </w:numPr>
      </w:pPr>
      <w:r>
        <w:t>Hvilken type rådgivningsydelse ?</w:t>
      </w:r>
    </w:p>
    <w:p w:rsidR="00F7648B" w:rsidRDefault="00F7648B" w:rsidP="00F7648B">
      <w:pPr>
        <w:pStyle w:val="Typografi1blindryk"/>
        <w:numPr>
          <w:ilvl w:val="0"/>
          <w:numId w:val="2"/>
        </w:numPr>
      </w:pPr>
      <w:r>
        <w:t>Beskriv hvad det er for en ydelse rådgiveren skal levere.</w:t>
      </w:r>
    </w:p>
    <w:p w:rsidR="00F7648B" w:rsidRDefault="00F7648B" w:rsidP="00F7648B">
      <w:pPr>
        <w:pStyle w:val="Typografi1blindryk"/>
        <w:numPr>
          <w:ilvl w:val="0"/>
          <w:numId w:val="2"/>
        </w:numPr>
      </w:pPr>
      <w:r>
        <w:t>Særlig</w:t>
      </w:r>
      <w:r w:rsidR="001C2553">
        <w:t>t</w:t>
      </w:r>
      <w:r>
        <w:t xml:space="preserve"> hvis der er tale om projekteringsydelse</w:t>
      </w:r>
      <w:r w:rsidR="001C2553">
        <w:t>r skal man beskrive hvilke ydels</w:t>
      </w:r>
      <w:r>
        <w:t>er, der er tale om. Ydelsesbeskrivelsens punkt 1-6 gennemgår projekterings- og projekteringsrelaterede ydelser, og der kan (fra)vælges fra den.</w:t>
      </w:r>
    </w:p>
    <w:p w:rsidR="00F7648B" w:rsidRDefault="00F7648B" w:rsidP="00F7648B">
      <w:pPr>
        <w:pStyle w:val="Typografi1blindryk"/>
        <w:ind w:left="720"/>
      </w:pPr>
    </w:p>
    <w:p w:rsidR="00F7648B" w:rsidRDefault="00F7648B" w:rsidP="00F7648B">
      <w:pPr>
        <w:pStyle w:val="Listeafsnit"/>
        <w:numPr>
          <w:ilvl w:val="0"/>
          <w:numId w:val="1"/>
        </w:numPr>
      </w:pPr>
      <w:r>
        <w:lastRenderedPageBreak/>
        <w:t>Hvordan er de økonomiske forhold ?</w:t>
      </w:r>
    </w:p>
    <w:p w:rsidR="00F7648B" w:rsidRDefault="00F7648B" w:rsidP="00F7648B">
      <w:pPr>
        <w:pStyle w:val="Typografi1blindryk"/>
        <w:numPr>
          <w:ilvl w:val="0"/>
          <w:numId w:val="3"/>
        </w:numPr>
      </w:pPr>
      <w:r>
        <w:t>Hvad er det for økonomiske forudsætninger som rådgiveren skal arbejde efter ?</w:t>
      </w:r>
    </w:p>
    <w:p w:rsidR="00F7648B" w:rsidRDefault="00F7648B" w:rsidP="00F7648B">
      <w:pPr>
        <w:pStyle w:val="Typografi1blindryk"/>
        <w:numPr>
          <w:ilvl w:val="0"/>
          <w:numId w:val="3"/>
        </w:numPr>
      </w:pPr>
      <w:r>
        <w:t>Er de</w:t>
      </w:r>
      <w:r w:rsidR="00F26249">
        <w:t>r</w:t>
      </w:r>
      <w:r>
        <w:t xml:space="preserve"> et budget som skal overholdes ? I så fald hvad er beløbet ?</w:t>
      </w:r>
    </w:p>
    <w:p w:rsidR="00F7648B" w:rsidRDefault="007F1ADB" w:rsidP="00F7648B">
      <w:pPr>
        <w:pStyle w:val="Typografi1blindryk"/>
        <w:numPr>
          <w:ilvl w:val="0"/>
          <w:numId w:val="3"/>
        </w:numPr>
      </w:pPr>
      <w:r>
        <w:t>Hvordan skal rådgiveren honoreres ?</w:t>
      </w:r>
    </w:p>
    <w:p w:rsidR="007F1ADB" w:rsidRDefault="007F1ADB" w:rsidP="00F7648B">
      <w:pPr>
        <w:pStyle w:val="Typografi1blindryk"/>
        <w:numPr>
          <w:ilvl w:val="0"/>
          <w:numId w:val="3"/>
        </w:numPr>
      </w:pPr>
      <w:r>
        <w:t>Er der særlige forhold vedrørende udlæg ?</w:t>
      </w:r>
    </w:p>
    <w:p w:rsidR="007F1ADB" w:rsidRDefault="007F1ADB" w:rsidP="007F1ADB"/>
    <w:p w:rsidR="007F1ADB" w:rsidRDefault="007F1ADB" w:rsidP="007F1ADB">
      <w:pPr>
        <w:pStyle w:val="Listeafsnit"/>
        <w:numPr>
          <w:ilvl w:val="0"/>
          <w:numId w:val="1"/>
        </w:numPr>
      </w:pPr>
      <w:r>
        <w:t>Hvordan er mødestrukturen ?</w:t>
      </w:r>
    </w:p>
    <w:p w:rsidR="007F1ADB" w:rsidRDefault="007F1ADB" w:rsidP="007F1ADB">
      <w:pPr>
        <w:pStyle w:val="Typografi1blindryk"/>
        <w:numPr>
          <w:ilvl w:val="0"/>
          <w:numId w:val="4"/>
        </w:numPr>
      </w:pPr>
      <w:r>
        <w:t>Hvordan er mødetakten tænkt ? Skal der være projekterings- og eller bygherremøder og i så fald hvor mange ?</w:t>
      </w:r>
    </w:p>
    <w:p w:rsidR="007F1ADB" w:rsidRDefault="007F1ADB" w:rsidP="007F1ADB">
      <w:pPr>
        <w:pStyle w:val="Typografi1blindryk"/>
        <w:numPr>
          <w:ilvl w:val="0"/>
          <w:numId w:val="4"/>
        </w:numPr>
      </w:pPr>
      <w:r>
        <w:t>Skal der være opstartsgennemgang med rådgiver og entreprenør vedrørende entreprenørens tilbud ? Hvor mange gange og i hvor lang tid ?</w:t>
      </w:r>
    </w:p>
    <w:p w:rsidR="007F1ADB" w:rsidRDefault="007F1ADB" w:rsidP="007F1ADB">
      <w:pPr>
        <w:pStyle w:val="Typografi1blindryk"/>
        <w:numPr>
          <w:ilvl w:val="0"/>
          <w:numId w:val="4"/>
        </w:numPr>
      </w:pPr>
      <w:r>
        <w:t>Hvis byggemøder, hvordan og hvor mange ?</w:t>
      </w:r>
    </w:p>
    <w:p w:rsidR="007F1ADB" w:rsidRDefault="007F1ADB" w:rsidP="007F1ADB">
      <w:pPr>
        <w:pStyle w:val="Typografi1blindryk"/>
        <w:ind w:left="720"/>
      </w:pPr>
    </w:p>
    <w:p w:rsidR="007F1ADB" w:rsidRDefault="007F1ADB" w:rsidP="007F1ADB">
      <w:pPr>
        <w:pStyle w:val="Listeafsnit"/>
        <w:numPr>
          <w:ilvl w:val="0"/>
          <w:numId w:val="1"/>
        </w:numPr>
      </w:pPr>
      <w:r>
        <w:t>Øvrige forhold</w:t>
      </w:r>
    </w:p>
    <w:p w:rsidR="007F1ADB" w:rsidRDefault="007F1ADB" w:rsidP="007F1ADB">
      <w:pPr>
        <w:pStyle w:val="Typografi1blindryk"/>
        <w:numPr>
          <w:ilvl w:val="0"/>
          <w:numId w:val="5"/>
        </w:numPr>
      </w:pPr>
      <w:r>
        <w:t>Hvordan er de tidsmæssige forhold – er der en tidsplan ?</w:t>
      </w:r>
    </w:p>
    <w:p w:rsidR="007F1ADB" w:rsidRDefault="007F1ADB" w:rsidP="007F1ADB">
      <w:pPr>
        <w:pStyle w:val="Typografi1blindryk"/>
        <w:numPr>
          <w:ilvl w:val="0"/>
          <w:numId w:val="5"/>
        </w:numPr>
      </w:pPr>
      <w:r>
        <w:t>Er der faseopdeling og i så fald, hvornår skal de enkelte ydelser falde og med hvilken KS ?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Skal rådgiveren have fuldmagt til at disponere ?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Skal der bruges underrådgivere og i givet fald hvordan ?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 xml:space="preserve">Hvis projektering er en ydelse, skal det overvejes, om der skal være afhjælpningsret for rådgiveren og evt. </w:t>
      </w:r>
      <w:proofErr w:type="spellStart"/>
      <w:r>
        <w:t>omprojekteringsklausul</w:t>
      </w:r>
      <w:proofErr w:type="spellEnd"/>
      <w:r>
        <w:t>.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Brug af IKT – hvordan og hvor ?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Betyder entrepriseform noget f</w:t>
      </w:r>
      <w:r w:rsidR="002A1753">
        <w:t>or ydelsen, da skal den angives.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Byggesagen, skal også gennemføres efter AB 18 forenklet. De to skal matche.</w:t>
      </w:r>
    </w:p>
    <w:p w:rsidR="00577A78" w:rsidRDefault="00B4429C" w:rsidP="007F1ADB">
      <w:pPr>
        <w:pStyle w:val="Typografi1blindryk"/>
        <w:numPr>
          <w:ilvl w:val="0"/>
          <w:numId w:val="5"/>
        </w:numPr>
      </w:pPr>
      <w:r>
        <w:t xml:space="preserve">Er det et </w:t>
      </w:r>
      <w:r w:rsidR="00577A78">
        <w:t xml:space="preserve">ukompliceret byggeri </w:t>
      </w:r>
      <w:r>
        <w:t xml:space="preserve">som </w:t>
      </w:r>
      <w:bookmarkStart w:id="1" w:name="_GoBack"/>
      <w:bookmarkEnd w:id="1"/>
      <w:r w:rsidR="00577A78">
        <w:t>f.eks. vinduesudskiftning eller nyt tag.</w:t>
      </w:r>
    </w:p>
    <w:p w:rsidR="00577A78" w:rsidRDefault="00577A78" w:rsidP="007F1ADB">
      <w:pPr>
        <w:pStyle w:val="Typografi1blindryk"/>
        <w:numPr>
          <w:ilvl w:val="0"/>
          <w:numId w:val="5"/>
        </w:numPr>
      </w:pPr>
      <w:r>
        <w:t>Er der mange eller få entreprenører ?</w:t>
      </w:r>
    </w:p>
    <w:p w:rsidR="00577A78" w:rsidRPr="00174BCC" w:rsidRDefault="00577A78" w:rsidP="007F1ADB">
      <w:pPr>
        <w:pStyle w:val="Typografi1blindryk"/>
        <w:numPr>
          <w:ilvl w:val="0"/>
          <w:numId w:val="5"/>
        </w:numPr>
      </w:pPr>
      <w:r>
        <w:t>Udbydes i underhåndsbud til kendte samarbejdspartnere ?</w:t>
      </w:r>
    </w:p>
    <w:sectPr w:rsidR="00577A78" w:rsidRPr="00174BC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CC" w:rsidRDefault="00174BCC" w:rsidP="00174BCC">
      <w:pPr>
        <w:spacing w:after="0"/>
      </w:pPr>
      <w:r>
        <w:separator/>
      </w:r>
    </w:p>
  </w:endnote>
  <w:endnote w:type="continuationSeparator" w:id="0">
    <w:p w:rsidR="00174BCC" w:rsidRDefault="00174BCC" w:rsidP="00174B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CC" w:rsidRDefault="00174BCC" w:rsidP="00174BCC">
      <w:pPr>
        <w:spacing w:after="0"/>
      </w:pPr>
      <w:r>
        <w:separator/>
      </w:r>
    </w:p>
  </w:footnote>
  <w:footnote w:type="continuationSeparator" w:id="0">
    <w:p w:rsidR="00174BCC" w:rsidRDefault="00174BCC" w:rsidP="00174B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CC" w:rsidRDefault="00174BCC" w:rsidP="00174BCC">
    <w:pPr>
      <w:pStyle w:val="Sidehoved"/>
      <w:tabs>
        <w:tab w:val="clear" w:pos="9638"/>
        <w:tab w:val="right" w:pos="9923"/>
      </w:tabs>
      <w:ind w:right="-285"/>
      <w:jc w:val="right"/>
    </w:pPr>
    <w:r>
      <w:rPr>
        <w:noProof/>
        <w:lang w:eastAsia="da-DK"/>
      </w:rPr>
      <w:drawing>
        <wp:inline distT="0" distB="0" distL="0" distR="0" wp14:anchorId="3DCBB8DF" wp14:editId="4B800D91">
          <wp:extent cx="1280160" cy="6096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B68"/>
    <w:multiLevelType w:val="hybridMultilevel"/>
    <w:tmpl w:val="190AE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04FFE"/>
    <w:multiLevelType w:val="hybridMultilevel"/>
    <w:tmpl w:val="00EE0C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B3C3C"/>
    <w:multiLevelType w:val="hybridMultilevel"/>
    <w:tmpl w:val="11DC7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97C33"/>
    <w:multiLevelType w:val="hybridMultilevel"/>
    <w:tmpl w:val="B65A180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FF17CB"/>
    <w:multiLevelType w:val="hybridMultilevel"/>
    <w:tmpl w:val="132600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CC"/>
    <w:rsid w:val="00014E2A"/>
    <w:rsid w:val="0002134D"/>
    <w:rsid w:val="000278B1"/>
    <w:rsid w:val="00045E7D"/>
    <w:rsid w:val="00060FAD"/>
    <w:rsid w:val="000619DE"/>
    <w:rsid w:val="0007750A"/>
    <w:rsid w:val="00085C44"/>
    <w:rsid w:val="000A5143"/>
    <w:rsid w:val="000F06D6"/>
    <w:rsid w:val="0012778E"/>
    <w:rsid w:val="00167230"/>
    <w:rsid w:val="00174BCC"/>
    <w:rsid w:val="00176A97"/>
    <w:rsid w:val="00182210"/>
    <w:rsid w:val="001A12BB"/>
    <w:rsid w:val="001A62FC"/>
    <w:rsid w:val="001B6754"/>
    <w:rsid w:val="001B714E"/>
    <w:rsid w:val="001C2553"/>
    <w:rsid w:val="00207DBF"/>
    <w:rsid w:val="002135ED"/>
    <w:rsid w:val="002304EA"/>
    <w:rsid w:val="0023310E"/>
    <w:rsid w:val="002850CB"/>
    <w:rsid w:val="002A1753"/>
    <w:rsid w:val="002A3078"/>
    <w:rsid w:val="002B4938"/>
    <w:rsid w:val="002B572A"/>
    <w:rsid w:val="002D05FE"/>
    <w:rsid w:val="00314900"/>
    <w:rsid w:val="00344395"/>
    <w:rsid w:val="00344DF3"/>
    <w:rsid w:val="00364DD7"/>
    <w:rsid w:val="003653BE"/>
    <w:rsid w:val="00387E13"/>
    <w:rsid w:val="00390AB8"/>
    <w:rsid w:val="003A00C6"/>
    <w:rsid w:val="003E4DF5"/>
    <w:rsid w:val="0040367A"/>
    <w:rsid w:val="00415454"/>
    <w:rsid w:val="00472C68"/>
    <w:rsid w:val="00480CEE"/>
    <w:rsid w:val="00481E5D"/>
    <w:rsid w:val="00485F33"/>
    <w:rsid w:val="004D0FC6"/>
    <w:rsid w:val="004D2320"/>
    <w:rsid w:val="004D4BDC"/>
    <w:rsid w:val="004E55EF"/>
    <w:rsid w:val="004E622B"/>
    <w:rsid w:val="004E7821"/>
    <w:rsid w:val="004F222D"/>
    <w:rsid w:val="0051404F"/>
    <w:rsid w:val="00514CB2"/>
    <w:rsid w:val="00517BFB"/>
    <w:rsid w:val="005271CD"/>
    <w:rsid w:val="00544DB3"/>
    <w:rsid w:val="00577A78"/>
    <w:rsid w:val="0059123D"/>
    <w:rsid w:val="005A711A"/>
    <w:rsid w:val="005B0D54"/>
    <w:rsid w:val="006278FD"/>
    <w:rsid w:val="0063316C"/>
    <w:rsid w:val="0066473E"/>
    <w:rsid w:val="006835EA"/>
    <w:rsid w:val="006846F7"/>
    <w:rsid w:val="00691003"/>
    <w:rsid w:val="006B6858"/>
    <w:rsid w:val="006F0FBD"/>
    <w:rsid w:val="00707FA6"/>
    <w:rsid w:val="007102CE"/>
    <w:rsid w:val="00716AE4"/>
    <w:rsid w:val="00725988"/>
    <w:rsid w:val="00725CCE"/>
    <w:rsid w:val="00737154"/>
    <w:rsid w:val="007414B4"/>
    <w:rsid w:val="00775A11"/>
    <w:rsid w:val="007B4243"/>
    <w:rsid w:val="007C57FB"/>
    <w:rsid w:val="007C5E6E"/>
    <w:rsid w:val="007D3D93"/>
    <w:rsid w:val="007D4843"/>
    <w:rsid w:val="007F1ADB"/>
    <w:rsid w:val="007F55B7"/>
    <w:rsid w:val="0081343D"/>
    <w:rsid w:val="00846429"/>
    <w:rsid w:val="008718E5"/>
    <w:rsid w:val="00891630"/>
    <w:rsid w:val="00896F30"/>
    <w:rsid w:val="008B06D1"/>
    <w:rsid w:val="008B3678"/>
    <w:rsid w:val="008E0F61"/>
    <w:rsid w:val="0092681F"/>
    <w:rsid w:val="00954DD9"/>
    <w:rsid w:val="0097462C"/>
    <w:rsid w:val="009876B5"/>
    <w:rsid w:val="009B00E8"/>
    <w:rsid w:val="009B4CE7"/>
    <w:rsid w:val="009D62D3"/>
    <w:rsid w:val="00A60337"/>
    <w:rsid w:val="00A70CA1"/>
    <w:rsid w:val="00A75532"/>
    <w:rsid w:val="00A80BAB"/>
    <w:rsid w:val="00A83556"/>
    <w:rsid w:val="00AB58CC"/>
    <w:rsid w:val="00AC6955"/>
    <w:rsid w:val="00AD7C52"/>
    <w:rsid w:val="00AE10F7"/>
    <w:rsid w:val="00B326D0"/>
    <w:rsid w:val="00B340C4"/>
    <w:rsid w:val="00B4429C"/>
    <w:rsid w:val="00B464C3"/>
    <w:rsid w:val="00B5060F"/>
    <w:rsid w:val="00BD4950"/>
    <w:rsid w:val="00C01AD3"/>
    <w:rsid w:val="00C1070F"/>
    <w:rsid w:val="00C45D1E"/>
    <w:rsid w:val="00C721E3"/>
    <w:rsid w:val="00C76654"/>
    <w:rsid w:val="00C77A67"/>
    <w:rsid w:val="00C93688"/>
    <w:rsid w:val="00CA3972"/>
    <w:rsid w:val="00CD7810"/>
    <w:rsid w:val="00CD7E72"/>
    <w:rsid w:val="00CE70D3"/>
    <w:rsid w:val="00D339BD"/>
    <w:rsid w:val="00D34A5B"/>
    <w:rsid w:val="00D406D1"/>
    <w:rsid w:val="00DE36A8"/>
    <w:rsid w:val="00DE7154"/>
    <w:rsid w:val="00E12C2B"/>
    <w:rsid w:val="00E57F8A"/>
    <w:rsid w:val="00E61A2F"/>
    <w:rsid w:val="00E64AB6"/>
    <w:rsid w:val="00E659EF"/>
    <w:rsid w:val="00E97C1F"/>
    <w:rsid w:val="00EB19E5"/>
    <w:rsid w:val="00ED303C"/>
    <w:rsid w:val="00EF1F7F"/>
    <w:rsid w:val="00F176A5"/>
    <w:rsid w:val="00F24872"/>
    <w:rsid w:val="00F26249"/>
    <w:rsid w:val="00F36963"/>
    <w:rsid w:val="00F7648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F"/>
    <w:pPr>
      <w:spacing w:after="9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2553"/>
    <w:pPr>
      <w:spacing w:before="90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Grntekst">
    <w:name w:val="Grøn tekst"/>
    <w:basedOn w:val="Brdtekst"/>
    <w:link w:val="GrntekstTegn"/>
    <w:qFormat/>
    <w:rsid w:val="00174BCC"/>
    <w:pPr>
      <w:spacing w:line="300" w:lineRule="atLeast"/>
    </w:pPr>
    <w:rPr>
      <w:rFonts w:ascii="Verdana" w:eastAsia="Times New Roman" w:hAnsi="Verdana" w:cs="Times New Roman"/>
      <w:bCs/>
      <w:iCs/>
      <w:color w:val="00B050"/>
      <w:szCs w:val="24"/>
    </w:rPr>
  </w:style>
  <w:style w:type="character" w:customStyle="1" w:styleId="GrntekstTegn">
    <w:name w:val="Grøn tekst Tegn"/>
    <w:basedOn w:val="BrdtekstTegn"/>
    <w:link w:val="Grntekst"/>
    <w:locked/>
    <w:rsid w:val="00174BCC"/>
    <w:rPr>
      <w:rFonts w:ascii="Verdana" w:eastAsia="Times New Roman" w:hAnsi="Verdana" w:cs="Times New Roman"/>
      <w:bCs/>
      <w:iCs/>
      <w:color w:val="00B050"/>
      <w:sz w:val="20"/>
      <w:szCs w:val="24"/>
    </w:rPr>
  </w:style>
  <w:style w:type="paragraph" w:customStyle="1" w:styleId="Typografi1blindryk">
    <w:name w:val="Typografi1 blå indryk"/>
    <w:basedOn w:val="Normal"/>
    <w:qFormat/>
    <w:rsid w:val="00577A78"/>
    <w:pPr>
      <w:spacing w:before="45" w:after="60" w:line="280" w:lineRule="atLeast"/>
      <w:contextualSpacing/>
    </w:pPr>
    <w:rPr>
      <w:rFonts w:ascii="Verdana" w:eastAsia="Times New Roman" w:hAnsi="Verdana" w:cs="Times New Roman"/>
      <w:color w:val="3366FF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174B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74BCC"/>
    <w:rPr>
      <w:sz w:val="20"/>
    </w:rPr>
  </w:style>
  <w:style w:type="paragraph" w:styleId="Sidehoved">
    <w:name w:val="header"/>
    <w:basedOn w:val="Normal"/>
    <w:link w:val="SidehovedTegn"/>
    <w:uiPriority w:val="99"/>
    <w:unhideWhenUsed/>
    <w:rsid w:val="00174BC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BC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74BC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74BCC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EF"/>
    <w:pPr>
      <w:spacing w:after="9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2553"/>
    <w:pPr>
      <w:spacing w:before="90"/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Grntekst">
    <w:name w:val="Grøn tekst"/>
    <w:basedOn w:val="Brdtekst"/>
    <w:link w:val="GrntekstTegn"/>
    <w:qFormat/>
    <w:rsid w:val="00174BCC"/>
    <w:pPr>
      <w:spacing w:line="300" w:lineRule="atLeast"/>
    </w:pPr>
    <w:rPr>
      <w:rFonts w:ascii="Verdana" w:eastAsia="Times New Roman" w:hAnsi="Verdana" w:cs="Times New Roman"/>
      <w:bCs/>
      <w:iCs/>
      <w:color w:val="00B050"/>
      <w:szCs w:val="24"/>
    </w:rPr>
  </w:style>
  <w:style w:type="character" w:customStyle="1" w:styleId="GrntekstTegn">
    <w:name w:val="Grøn tekst Tegn"/>
    <w:basedOn w:val="BrdtekstTegn"/>
    <w:link w:val="Grntekst"/>
    <w:locked/>
    <w:rsid w:val="00174BCC"/>
    <w:rPr>
      <w:rFonts w:ascii="Verdana" w:eastAsia="Times New Roman" w:hAnsi="Verdana" w:cs="Times New Roman"/>
      <w:bCs/>
      <w:iCs/>
      <w:color w:val="00B050"/>
      <w:sz w:val="20"/>
      <w:szCs w:val="24"/>
    </w:rPr>
  </w:style>
  <w:style w:type="paragraph" w:customStyle="1" w:styleId="Typografi1blindryk">
    <w:name w:val="Typografi1 blå indryk"/>
    <w:basedOn w:val="Normal"/>
    <w:qFormat/>
    <w:rsid w:val="00577A78"/>
    <w:pPr>
      <w:spacing w:before="45" w:after="60" w:line="280" w:lineRule="atLeast"/>
      <w:contextualSpacing/>
    </w:pPr>
    <w:rPr>
      <w:rFonts w:ascii="Verdana" w:eastAsia="Times New Roman" w:hAnsi="Verdana" w:cs="Times New Roman"/>
      <w:color w:val="3366FF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174B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74BCC"/>
    <w:rPr>
      <w:sz w:val="20"/>
    </w:rPr>
  </w:style>
  <w:style w:type="paragraph" w:styleId="Sidehoved">
    <w:name w:val="header"/>
    <w:basedOn w:val="Normal"/>
    <w:link w:val="SidehovedTegn"/>
    <w:uiPriority w:val="99"/>
    <w:unhideWhenUsed/>
    <w:rsid w:val="00174BC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74BCC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174BCC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74BC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Lind Nielsen</dc:creator>
  <cp:lastModifiedBy>Anne Marie Lind Nielsen</cp:lastModifiedBy>
  <cp:revision>2</cp:revision>
  <cp:lastPrinted>2020-03-11T07:50:00Z</cp:lastPrinted>
  <dcterms:created xsi:type="dcterms:W3CDTF">2020-03-11T07:54:00Z</dcterms:created>
  <dcterms:modified xsi:type="dcterms:W3CDTF">2020-03-11T07:54:00Z</dcterms:modified>
</cp:coreProperties>
</file>